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22B49">
      <w:pPr>
        <w:ind w:left="17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5C4824">
        <w:rPr>
          <w:b/>
          <w:sz w:val="32"/>
          <w:szCs w:val="32"/>
        </w:rPr>
        <w:t>ersja 4.16U</w:t>
      </w:r>
    </w:p>
    <w:p w:rsidR="00C56446" w:rsidRDefault="00C56446" w:rsidP="00022B49">
      <w:pPr>
        <w:ind w:left="170" w:firstLine="708"/>
        <w:rPr>
          <w:b/>
          <w:sz w:val="32"/>
          <w:szCs w:val="32"/>
        </w:rPr>
      </w:pPr>
    </w:p>
    <w:p w:rsidR="00940299" w:rsidRDefault="005C4824" w:rsidP="00022B49">
      <w:pPr>
        <w:pStyle w:val="Akapitzlist"/>
        <w:numPr>
          <w:ilvl w:val="0"/>
          <w:numId w:val="38"/>
        </w:numPr>
        <w:ind w:left="170"/>
      </w:pPr>
      <w:r>
        <w:t xml:space="preserve">Dodano możliwość dodania do umowy informacji o </w:t>
      </w:r>
      <w:proofErr w:type="gramStart"/>
      <w:r>
        <w:t>komorniku u którego</w:t>
      </w:r>
      <w:proofErr w:type="gramEnd"/>
      <w:r>
        <w:t xml:space="preserve"> znajduje się dana umowa. Wskazanie komornika odbywa się poprzez wybór z listy dostępnych komorników.</w:t>
      </w:r>
    </w:p>
    <w:p w:rsidR="00E60A03" w:rsidRDefault="00E60A03" w:rsidP="00E60A03">
      <w:pPr>
        <w:pStyle w:val="Akapitzlist"/>
        <w:ind w:left="170"/>
      </w:pPr>
    </w:p>
    <w:p w:rsidR="005C4824" w:rsidRDefault="005C4824" w:rsidP="00022B49">
      <w:pPr>
        <w:pStyle w:val="Akapitzlist"/>
        <w:numPr>
          <w:ilvl w:val="0"/>
          <w:numId w:val="38"/>
        </w:numPr>
        <w:ind w:left="170"/>
      </w:pPr>
      <w:r>
        <w:t>Dodano możliwość filtrowania umów po komornikach</w:t>
      </w:r>
    </w:p>
    <w:p w:rsidR="00E60A03" w:rsidRDefault="00E60A03" w:rsidP="00E60A03">
      <w:pPr>
        <w:pStyle w:val="Akapitzlist"/>
      </w:pPr>
    </w:p>
    <w:p w:rsidR="00E60A03" w:rsidRDefault="00E60A03" w:rsidP="00E60A03">
      <w:pPr>
        <w:pStyle w:val="Akapitzlist"/>
        <w:ind w:left="170"/>
      </w:pPr>
    </w:p>
    <w:p w:rsidR="00C76AF5" w:rsidRDefault="00C76AF5" w:rsidP="00022B49">
      <w:pPr>
        <w:pStyle w:val="Akapitzlist"/>
        <w:numPr>
          <w:ilvl w:val="0"/>
          <w:numId w:val="38"/>
        </w:numPr>
        <w:ind w:left="170"/>
      </w:pPr>
      <w:r>
        <w:t>Dodano możliwość konfigurowania wyglądu ekranu „Umowy info”</w:t>
      </w:r>
    </w:p>
    <w:p w:rsidR="007F335C" w:rsidRDefault="007F335C" w:rsidP="007F335C">
      <w:pPr>
        <w:pStyle w:val="Akapitzlist"/>
        <w:ind w:left="170"/>
      </w:pPr>
      <w:r>
        <w:t>Określenie kolumn jakie mają się pojawić w opcji umowy info odbywa się w opcji „Baza-&gt;</w:t>
      </w:r>
      <w:proofErr w:type="gramStart"/>
      <w:r>
        <w:t>Konfiguracja „  opcja</w:t>
      </w:r>
      <w:proofErr w:type="gramEnd"/>
      <w:r>
        <w:t xml:space="preserve">    „Wygląd ekranu Umowy ekranu umowy info”</w:t>
      </w:r>
    </w:p>
    <w:p w:rsidR="007F335C" w:rsidRDefault="007F335C" w:rsidP="007F335C">
      <w:pPr>
        <w:pStyle w:val="Akapitzlist"/>
        <w:ind w:left="170"/>
      </w:pPr>
    </w:p>
    <w:p w:rsidR="007F335C" w:rsidRDefault="007F335C" w:rsidP="007F335C">
      <w:pPr>
        <w:pStyle w:val="Akapitzlist"/>
        <w:ind w:left="170"/>
      </w:pPr>
      <w:r>
        <w:rPr>
          <w:noProof/>
        </w:rPr>
        <w:drawing>
          <wp:inline distT="0" distB="0" distL="0" distR="0" wp14:anchorId="2DCDBF31" wp14:editId="369F3072">
            <wp:extent cx="5760720" cy="27443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5C" w:rsidRDefault="007F335C" w:rsidP="007F335C">
      <w:pPr>
        <w:pStyle w:val="Akapitzlist"/>
        <w:ind w:left="170"/>
      </w:pPr>
    </w:p>
    <w:p w:rsidR="007F335C" w:rsidRDefault="007F335C" w:rsidP="007F335C">
      <w:pPr>
        <w:pStyle w:val="Akapitzlist"/>
        <w:ind w:left="170"/>
      </w:pPr>
    </w:p>
    <w:p w:rsidR="00382586" w:rsidRDefault="00382586" w:rsidP="00022B49">
      <w:pPr>
        <w:pStyle w:val="Akapitzlist"/>
        <w:numPr>
          <w:ilvl w:val="0"/>
          <w:numId w:val="38"/>
        </w:numPr>
        <w:ind w:left="170"/>
      </w:pPr>
      <w:r>
        <w:t xml:space="preserve">Umożliwiono </w:t>
      </w:r>
      <w:proofErr w:type="gramStart"/>
      <w:r>
        <w:t>konfigurowanie jakie</w:t>
      </w:r>
      <w:proofErr w:type="gramEnd"/>
      <w:r>
        <w:t xml:space="preserve"> dane mają się znaleźć w przeglądaniu opcji zaległości</w:t>
      </w:r>
    </w:p>
    <w:p w:rsidR="00382586" w:rsidRDefault="00382586" w:rsidP="00382586">
      <w:pPr>
        <w:pStyle w:val="Akapitzlist"/>
        <w:ind w:left="170"/>
      </w:pPr>
      <w:r>
        <w:t>Ekran ten można konfigurować w opcji baza-&gt;</w:t>
      </w:r>
      <w:r w:rsidR="00E60A03">
        <w:t>Konfiguracja</w:t>
      </w:r>
    </w:p>
    <w:p w:rsidR="00382586" w:rsidRDefault="00382586" w:rsidP="00382586">
      <w:pPr>
        <w:pStyle w:val="Akapitzlist"/>
        <w:ind w:left="170"/>
      </w:pPr>
    </w:p>
    <w:p w:rsidR="00382586" w:rsidRDefault="00382586" w:rsidP="00382586">
      <w:pPr>
        <w:pStyle w:val="Akapitzlist"/>
        <w:ind w:left="170"/>
      </w:pPr>
      <w:r>
        <w:rPr>
          <w:noProof/>
        </w:rPr>
        <w:drawing>
          <wp:inline distT="0" distB="0" distL="0" distR="0" wp14:anchorId="71A334F8" wp14:editId="64A05503">
            <wp:extent cx="5760720" cy="274439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86" w:rsidRDefault="00382586" w:rsidP="00382586">
      <w:pPr>
        <w:pStyle w:val="Akapitzlist"/>
        <w:ind w:left="170"/>
      </w:pPr>
    </w:p>
    <w:p w:rsidR="00382586" w:rsidRDefault="00382586" w:rsidP="00382586">
      <w:pPr>
        <w:pStyle w:val="Akapitzlist"/>
        <w:ind w:left="170"/>
      </w:pPr>
    </w:p>
    <w:p w:rsidR="00382586" w:rsidRDefault="00382586" w:rsidP="00382586">
      <w:pPr>
        <w:pStyle w:val="Akapitzlist"/>
        <w:ind w:left="170"/>
      </w:pPr>
      <w:r>
        <w:t xml:space="preserve">Dodatkowo umożliwiono sortowanie danych umieszczonych w raporcie zaległości. Sortowanie odbywa się poprzez dwukrotne kliknięcie w tytuł – nazwę </w:t>
      </w:r>
      <w:r w:rsidR="00E60A03">
        <w:t>kolumny</w:t>
      </w:r>
      <w:r>
        <w:t>.</w:t>
      </w:r>
    </w:p>
    <w:p w:rsidR="00E60A03" w:rsidRDefault="00E60A03" w:rsidP="00382586">
      <w:pPr>
        <w:pStyle w:val="Akapitzlist"/>
        <w:ind w:left="170"/>
      </w:pPr>
    </w:p>
    <w:p w:rsidR="00C76AF5" w:rsidRDefault="00B105EC" w:rsidP="00022B49">
      <w:pPr>
        <w:pStyle w:val="Akapitzlist"/>
        <w:numPr>
          <w:ilvl w:val="0"/>
          <w:numId w:val="38"/>
        </w:numPr>
        <w:ind w:left="170"/>
      </w:pPr>
      <w:r>
        <w:t>Umożliwiono zmianę sposobu wyliczania odsetek dla umowy w trakcie trwania umowy np. z metody 360/360 na 365/365</w:t>
      </w:r>
    </w:p>
    <w:p w:rsidR="00022B49" w:rsidRDefault="00022B49" w:rsidP="00022B49">
      <w:pPr>
        <w:ind w:left="170"/>
      </w:pPr>
    </w:p>
    <w:p w:rsidR="00EA6EFC" w:rsidRDefault="00EA6EFC" w:rsidP="00022B49">
      <w:pPr>
        <w:pStyle w:val="Akapitzlist"/>
        <w:numPr>
          <w:ilvl w:val="0"/>
          <w:numId w:val="38"/>
        </w:numPr>
        <w:ind w:left="170"/>
      </w:pPr>
      <w:r>
        <w:t xml:space="preserve">Dodano możliwość zapisywania przeznaczenia BGK dla umowy pożyczkowej. Aby umożliwić zapisywanie przeznaczenia BGK do umowy należy </w:t>
      </w:r>
    </w:p>
    <w:p w:rsidR="00EA6EFC" w:rsidRDefault="00EA6EFC" w:rsidP="00EA6EFC">
      <w:pPr>
        <w:pStyle w:val="Akapitzlist"/>
      </w:pPr>
    </w:p>
    <w:p w:rsidR="00EA6EFC" w:rsidRDefault="00EA6EFC" w:rsidP="00EA6EFC">
      <w:pPr>
        <w:pStyle w:val="Akapitzlist"/>
        <w:numPr>
          <w:ilvl w:val="0"/>
          <w:numId w:val="39"/>
        </w:numPr>
      </w:pPr>
      <w:r>
        <w:t xml:space="preserve">Włączyć dla produktu możliwość dopisywania przeznaczenia BGK opcji „Baza-&gt;Słowniki-&gt;Produkty-&gt; pożyczki/poręczenia” </w:t>
      </w:r>
    </w:p>
    <w:p w:rsidR="00EA6EFC" w:rsidRDefault="00EA6EFC" w:rsidP="00EA6EFC">
      <w:pPr>
        <w:pStyle w:val="Akapitzlist"/>
        <w:ind w:left="530"/>
      </w:pPr>
      <w:r>
        <w:rPr>
          <w:noProof/>
        </w:rPr>
        <w:drawing>
          <wp:inline distT="0" distB="0" distL="0" distR="0">
            <wp:extent cx="5753100" cy="2266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FC" w:rsidRDefault="00EA6EFC" w:rsidP="00EA6EFC">
      <w:pPr>
        <w:pStyle w:val="Akapitzlist"/>
        <w:ind w:left="530"/>
      </w:pPr>
    </w:p>
    <w:p w:rsidR="00EA6EFC" w:rsidRDefault="00EA6EFC" w:rsidP="00EA6EFC">
      <w:pPr>
        <w:pStyle w:val="Akapitzlist"/>
        <w:numPr>
          <w:ilvl w:val="0"/>
          <w:numId w:val="39"/>
        </w:numPr>
      </w:pPr>
      <w:r>
        <w:t xml:space="preserve">Zdefiniować słownik </w:t>
      </w:r>
      <w:proofErr w:type="gramStart"/>
      <w:r>
        <w:t>BGK  opcja</w:t>
      </w:r>
      <w:proofErr w:type="gramEnd"/>
      <w:r>
        <w:t xml:space="preserve"> „Baza-&gt;Słowniki-&gt;Przeznaczenie BGK”</w:t>
      </w:r>
    </w:p>
    <w:p w:rsidR="00EA6EFC" w:rsidRDefault="00EA6EFC" w:rsidP="00EA6EFC">
      <w:pPr>
        <w:pStyle w:val="Akapitzlist"/>
        <w:numPr>
          <w:ilvl w:val="0"/>
          <w:numId w:val="39"/>
        </w:numPr>
      </w:pPr>
      <w:r>
        <w:t>Podczas zakładania nowej umowy opcji Nowa umowa pojawi się nowe pole do uzupełnienia.</w:t>
      </w:r>
    </w:p>
    <w:p w:rsidR="00EA6EFC" w:rsidRDefault="00EA6EFC" w:rsidP="00EA6EFC">
      <w:r>
        <w:rPr>
          <w:noProof/>
        </w:rPr>
        <w:drawing>
          <wp:inline distT="0" distB="0" distL="0" distR="0">
            <wp:extent cx="5762625" cy="3486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FC" w:rsidRDefault="00EA6EFC" w:rsidP="00EA6EFC">
      <w:pPr>
        <w:pStyle w:val="Akapitzlist"/>
      </w:pPr>
    </w:p>
    <w:p w:rsidR="00022B49" w:rsidRDefault="00B105EC" w:rsidP="00022B49">
      <w:pPr>
        <w:pStyle w:val="Akapitzlist"/>
        <w:numPr>
          <w:ilvl w:val="0"/>
          <w:numId w:val="38"/>
        </w:numPr>
        <w:ind w:left="170"/>
      </w:pPr>
      <w:r>
        <w:lastRenderedPageBreak/>
        <w:t xml:space="preserve">Dodano </w:t>
      </w:r>
      <w:proofErr w:type="gramStart"/>
      <w:r>
        <w:t>klawisz</w:t>
      </w:r>
      <w:proofErr w:type="gramEnd"/>
      <w:r>
        <w:t xml:space="preserve"> </w:t>
      </w:r>
      <w:r w:rsidR="00172B82">
        <w:t xml:space="preserve">„Ustawienia globalne” </w:t>
      </w:r>
      <w:r>
        <w:t>w opcji</w:t>
      </w:r>
      <w:r w:rsidR="00022B49">
        <w:t xml:space="preserve"> Umowy info -&gt; prawy klawisz myszki -&gt;rejestr a</w:t>
      </w:r>
      <w:r>
        <w:t>neks spłat</w:t>
      </w:r>
      <w:r w:rsidR="00022B49">
        <w:t>”</w:t>
      </w:r>
      <w:r>
        <w:t xml:space="preserve"> umożliwiający przywrócenie ustawień globalnych</w:t>
      </w:r>
      <w:r w:rsidR="00022B49">
        <w:t xml:space="preserve"> kolejności spłat</w:t>
      </w:r>
    </w:p>
    <w:p w:rsidR="00022B49" w:rsidRDefault="00022B49" w:rsidP="00022B49">
      <w:pPr>
        <w:pStyle w:val="Akapitzlist"/>
        <w:ind w:left="170"/>
      </w:pPr>
    </w:p>
    <w:p w:rsidR="00B105EC" w:rsidRDefault="00022B49" w:rsidP="00022B49">
      <w:pPr>
        <w:pStyle w:val="Akapitzlist"/>
        <w:ind w:left="170"/>
      </w:pPr>
      <w:r>
        <w:rPr>
          <w:noProof/>
        </w:rPr>
        <w:drawing>
          <wp:inline distT="0" distB="0" distL="0" distR="0" wp14:anchorId="7EC8C4E9" wp14:editId="77371999">
            <wp:extent cx="5762625" cy="3448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5EC">
        <w:t>.</w:t>
      </w:r>
    </w:p>
    <w:p w:rsidR="00022B49" w:rsidRDefault="00022B49" w:rsidP="00022B49">
      <w:pPr>
        <w:ind w:left="170"/>
      </w:pPr>
    </w:p>
    <w:p w:rsidR="00022B49" w:rsidRDefault="00022B49" w:rsidP="00022B49">
      <w:pPr>
        <w:ind w:left="170"/>
      </w:pPr>
    </w:p>
    <w:p w:rsidR="00022B49" w:rsidRDefault="00022B49" w:rsidP="00022B49">
      <w:pPr>
        <w:ind w:left="170"/>
      </w:pPr>
    </w:p>
    <w:p w:rsidR="00644E6F" w:rsidRDefault="00644E6F" w:rsidP="00022B49">
      <w:pPr>
        <w:pStyle w:val="Akapitzlist"/>
        <w:numPr>
          <w:ilvl w:val="0"/>
          <w:numId w:val="38"/>
        </w:numPr>
        <w:ind w:left="170"/>
      </w:pPr>
      <w:r>
        <w:t>Dodano parametr pozwalający na wykonanie prewencyjnego zamknięcia dnia przy spłacie pożyczki. Parametr na Tak powinien ustawić każdy fundusz pracujący na bazie lokalnej. W wyniku działania opcji system nieco zwolni przyjmowanie spłat. Jednak będzie chronił przed wykonaniem błędów w wyniku ewentualnych korekt. Wykonywanych przez operatora.</w:t>
      </w:r>
    </w:p>
    <w:p w:rsidR="00644E6F" w:rsidRDefault="00644E6F" w:rsidP="00644E6F">
      <w:pPr>
        <w:pStyle w:val="Akapitzlist"/>
        <w:ind w:left="170"/>
      </w:pPr>
    </w:p>
    <w:p w:rsidR="00644E6F" w:rsidRDefault="00644E6F" w:rsidP="00644E6F">
      <w:r>
        <w:rPr>
          <w:noProof/>
        </w:rPr>
        <w:drawing>
          <wp:inline distT="0" distB="0" distL="0" distR="0" wp14:anchorId="21C3279B" wp14:editId="56D31DCE">
            <wp:extent cx="4286250" cy="2324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6F" w:rsidRDefault="00644E6F" w:rsidP="00644E6F"/>
    <w:p w:rsidR="00920215" w:rsidRDefault="00920215" w:rsidP="00022B49">
      <w:pPr>
        <w:pStyle w:val="Akapitzlist"/>
        <w:numPr>
          <w:ilvl w:val="0"/>
          <w:numId w:val="38"/>
        </w:numPr>
        <w:ind w:left="170"/>
      </w:pPr>
      <w:r>
        <w:t>Rozbudowano możliwość konfigurowania raportu spłat o dodatkową kolumnę „Numer w systemie FK”</w:t>
      </w:r>
    </w:p>
    <w:p w:rsidR="00F226CE" w:rsidRDefault="00F226CE" w:rsidP="00022B49">
      <w:pPr>
        <w:pStyle w:val="Akapitzlist"/>
        <w:numPr>
          <w:ilvl w:val="0"/>
          <w:numId w:val="38"/>
        </w:numPr>
        <w:ind w:left="170"/>
      </w:pPr>
      <w:r>
        <w:lastRenderedPageBreak/>
        <w:t xml:space="preserve">Usunięto opcje „Umowy info -&gt; prawy </w:t>
      </w:r>
      <w:proofErr w:type="gramStart"/>
      <w:r>
        <w:t>klawisz</w:t>
      </w:r>
      <w:proofErr w:type="gramEnd"/>
      <w:r>
        <w:t xml:space="preserve"> myszki -&gt; Operacje księgowe -&gt; Spłata z nadpłaty”</w:t>
      </w:r>
    </w:p>
    <w:p w:rsidR="00F226CE" w:rsidRDefault="00F226CE" w:rsidP="00022B49">
      <w:pPr>
        <w:pStyle w:val="Akapitzlist"/>
        <w:ind w:left="170"/>
      </w:pPr>
    </w:p>
    <w:p w:rsidR="00F226CE" w:rsidRDefault="00F226CE" w:rsidP="00022B49">
      <w:pPr>
        <w:pStyle w:val="Akapitzlist"/>
        <w:ind w:left="170"/>
      </w:pPr>
      <w:proofErr w:type="gramStart"/>
      <w:r>
        <w:t>Spłata  z</w:t>
      </w:r>
      <w:proofErr w:type="gramEnd"/>
      <w:r>
        <w:t xml:space="preserve"> nadpłaty można obecnie wykonać stosując opcje spłata tak samo jak przyjęcie spłaty z banku, czy kasy. </w:t>
      </w:r>
    </w:p>
    <w:p w:rsidR="00F226CE" w:rsidRDefault="00F226CE" w:rsidP="00022B49">
      <w:pPr>
        <w:pStyle w:val="Akapitzlist"/>
        <w:ind w:left="170"/>
      </w:pPr>
      <w:r>
        <w:t xml:space="preserve">Aby wykonać spłatę z Nadpłaty należy wskazać sposób wpłaty </w:t>
      </w:r>
      <w:r w:rsidRPr="00F226CE">
        <w:rPr>
          <w:b/>
        </w:rPr>
        <w:t>„Nadpłata”</w:t>
      </w:r>
      <w:r>
        <w:t xml:space="preserve"> i w opcji </w:t>
      </w:r>
      <w:r w:rsidR="00022B49">
        <w:t>„</w:t>
      </w:r>
      <w:r w:rsidRPr="00022B49">
        <w:rPr>
          <w:b/>
        </w:rPr>
        <w:t>Kwota wpłaty klienta</w:t>
      </w:r>
      <w:r w:rsidR="00022B49">
        <w:rPr>
          <w:b/>
        </w:rPr>
        <w:t>”</w:t>
      </w:r>
      <w:r>
        <w:t xml:space="preserve"> podać </w:t>
      </w:r>
      <w:proofErr w:type="gramStart"/>
      <w:r>
        <w:t>wartość jaką</w:t>
      </w:r>
      <w:proofErr w:type="gramEnd"/>
      <w:r>
        <w:t xml:space="preserve"> chcemy spłacić</w:t>
      </w:r>
      <w:r w:rsidR="00022B49">
        <w:t xml:space="preserve"> pobierając środki z konta </w:t>
      </w:r>
      <w:r w:rsidR="00022B49" w:rsidRPr="00022B49">
        <w:rPr>
          <w:b/>
        </w:rPr>
        <w:t>Nadpłata</w:t>
      </w:r>
    </w:p>
    <w:p w:rsidR="00022B49" w:rsidRDefault="00022B49" w:rsidP="00022B49">
      <w:pPr>
        <w:pStyle w:val="Akapitzlist"/>
        <w:ind w:left="170"/>
      </w:pPr>
    </w:p>
    <w:p w:rsidR="00022B49" w:rsidRDefault="00022B49" w:rsidP="00022B49">
      <w:pPr>
        <w:pStyle w:val="Akapitzlist"/>
        <w:ind w:left="170"/>
      </w:pPr>
      <w:r>
        <w:rPr>
          <w:noProof/>
        </w:rPr>
        <w:drawing>
          <wp:inline distT="0" distB="0" distL="0" distR="0" wp14:anchorId="17DE05A2" wp14:editId="3B8AE5DA">
            <wp:extent cx="5753100" cy="4105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49" w:rsidRDefault="00022B49" w:rsidP="00022B49">
      <w:pPr>
        <w:pStyle w:val="Akapitzlist"/>
        <w:ind w:left="170"/>
      </w:pPr>
    </w:p>
    <w:p w:rsidR="00022B49" w:rsidRDefault="00022B49" w:rsidP="00022B49">
      <w:pPr>
        <w:pStyle w:val="Akapitzlist"/>
        <w:ind w:left="170"/>
      </w:pPr>
    </w:p>
    <w:p w:rsidR="006D4873" w:rsidRDefault="006D4873" w:rsidP="006D4873">
      <w:pPr>
        <w:pStyle w:val="Akapitzlist"/>
        <w:jc w:val="center"/>
        <w:rPr>
          <w:b/>
          <w:sz w:val="32"/>
          <w:szCs w:val="32"/>
        </w:rPr>
      </w:pPr>
    </w:p>
    <w:p w:rsidR="006D4873" w:rsidRDefault="006D4873" w:rsidP="006D4873">
      <w:pPr>
        <w:pStyle w:val="Akapitzlist"/>
        <w:numPr>
          <w:ilvl w:val="0"/>
          <w:numId w:val="38"/>
        </w:numPr>
        <w:ind w:left="170"/>
      </w:pPr>
      <w:r>
        <w:t xml:space="preserve">Odnośnie stworzenia dodatkowych 15 nowych kosztów utworzono do nich następujące znaczniki: </w:t>
      </w:r>
    </w:p>
    <w:p w:rsidR="006D4873" w:rsidRDefault="006D4873" w:rsidP="006D4873">
      <w:pPr>
        <w:pStyle w:val="Akapitzlist"/>
        <w:ind w:left="1080"/>
      </w:pPr>
    </w:p>
    <w:p w:rsidR="006D4873" w:rsidRDefault="006D4873" w:rsidP="006D4873">
      <w:pPr>
        <w:pStyle w:val="Akapitzlist"/>
        <w:numPr>
          <w:ilvl w:val="0"/>
          <w:numId w:val="41"/>
        </w:numPr>
        <w:spacing w:after="200" w:line="276" w:lineRule="auto"/>
      </w:pPr>
      <w:r>
        <w:t>Znaczniki przedstawiające kwoty nowych dodatkowych kosztów</w:t>
      </w:r>
    </w:p>
    <w:p w:rsidR="006D4873" w:rsidRDefault="006D4873" w:rsidP="006D4873">
      <w:pPr>
        <w:pStyle w:val="Akapitzlist"/>
        <w:ind w:left="1440"/>
      </w:pPr>
    </w:p>
    <w:p w:rsidR="006D4873" w:rsidRDefault="006D4873" w:rsidP="006D4873">
      <w:pPr>
        <w:pStyle w:val="Akapitzlist"/>
        <w:ind w:left="1080"/>
      </w:pPr>
      <w:r>
        <w:t>[KOSZT_TYP1]</w:t>
      </w:r>
    </w:p>
    <w:p w:rsidR="006D4873" w:rsidRDefault="006D4873" w:rsidP="006D4873">
      <w:pPr>
        <w:pStyle w:val="Akapitzlist"/>
        <w:ind w:left="1080"/>
      </w:pPr>
      <w:r>
        <w:t>[KOSZT_TYP2]</w:t>
      </w:r>
    </w:p>
    <w:p w:rsidR="006D4873" w:rsidRDefault="006D4873" w:rsidP="006D4873">
      <w:pPr>
        <w:pStyle w:val="Akapitzlist"/>
        <w:ind w:left="1080"/>
      </w:pPr>
      <w:r>
        <w:t>[KOSZT_TYP3]</w:t>
      </w:r>
    </w:p>
    <w:p w:rsidR="006D4873" w:rsidRDefault="006D4873" w:rsidP="006D4873">
      <w:pPr>
        <w:pStyle w:val="Akapitzlist"/>
        <w:ind w:left="1080"/>
      </w:pPr>
      <w:r>
        <w:t>[KOSZT_TYP4]</w:t>
      </w:r>
    </w:p>
    <w:p w:rsidR="006D4873" w:rsidRDefault="006D4873" w:rsidP="006D4873">
      <w:pPr>
        <w:pStyle w:val="Akapitzlist"/>
        <w:ind w:left="1080"/>
      </w:pPr>
      <w:r>
        <w:t>[KOSZT_TYP5]</w:t>
      </w:r>
    </w:p>
    <w:p w:rsidR="006D4873" w:rsidRDefault="006D4873" w:rsidP="006D4873">
      <w:pPr>
        <w:pStyle w:val="Akapitzlist"/>
        <w:ind w:left="1080"/>
      </w:pPr>
      <w:r>
        <w:t>[KOSZT_TYP6]</w:t>
      </w:r>
    </w:p>
    <w:p w:rsidR="006D4873" w:rsidRDefault="006D4873" w:rsidP="006D4873">
      <w:pPr>
        <w:pStyle w:val="Akapitzlist"/>
        <w:ind w:left="1080"/>
      </w:pPr>
      <w:r>
        <w:t>[KOSZT_TYP7]</w:t>
      </w:r>
    </w:p>
    <w:p w:rsidR="006D4873" w:rsidRDefault="006D4873" w:rsidP="006D4873">
      <w:pPr>
        <w:pStyle w:val="Akapitzlist"/>
        <w:ind w:left="1080"/>
      </w:pPr>
      <w:r>
        <w:t>[KOSZT_TYP8]</w:t>
      </w:r>
    </w:p>
    <w:p w:rsidR="006D4873" w:rsidRDefault="006D4873" w:rsidP="006D4873">
      <w:pPr>
        <w:pStyle w:val="Akapitzlist"/>
        <w:ind w:left="1080"/>
      </w:pPr>
      <w:r>
        <w:t>[KOSZT_TYP9]</w:t>
      </w:r>
    </w:p>
    <w:p w:rsidR="006D4873" w:rsidRDefault="006D4873" w:rsidP="006D4873">
      <w:pPr>
        <w:pStyle w:val="Akapitzlist"/>
        <w:ind w:left="1080"/>
      </w:pPr>
      <w:r>
        <w:lastRenderedPageBreak/>
        <w:t>[KOSZT_TYP10]</w:t>
      </w:r>
    </w:p>
    <w:p w:rsidR="006D4873" w:rsidRDefault="006D4873" w:rsidP="006D4873">
      <w:pPr>
        <w:pStyle w:val="Akapitzlist"/>
        <w:ind w:left="1080"/>
      </w:pPr>
      <w:r>
        <w:t>[KOSZT_TYP11]</w:t>
      </w:r>
    </w:p>
    <w:p w:rsidR="006D4873" w:rsidRDefault="006D4873" w:rsidP="006D4873">
      <w:pPr>
        <w:pStyle w:val="Akapitzlist"/>
        <w:ind w:left="1080"/>
      </w:pPr>
      <w:r>
        <w:t>[KOSZT_TYP12]</w:t>
      </w:r>
    </w:p>
    <w:p w:rsidR="006D4873" w:rsidRDefault="006D4873" w:rsidP="006D4873">
      <w:pPr>
        <w:pStyle w:val="Akapitzlist"/>
        <w:ind w:left="1080"/>
      </w:pPr>
      <w:r>
        <w:t>[KOSZT_TYP13]</w:t>
      </w:r>
    </w:p>
    <w:p w:rsidR="006D4873" w:rsidRDefault="006D4873" w:rsidP="006D4873">
      <w:pPr>
        <w:pStyle w:val="Akapitzlist"/>
        <w:ind w:left="1080"/>
      </w:pPr>
      <w:r>
        <w:t>[KOSZT_TYP14]</w:t>
      </w:r>
    </w:p>
    <w:p w:rsidR="006D4873" w:rsidRDefault="006D4873" w:rsidP="006D4873">
      <w:pPr>
        <w:pStyle w:val="Akapitzlist"/>
        <w:ind w:left="1080"/>
      </w:pPr>
      <w:r>
        <w:t>[KOSZT_TYP15]</w:t>
      </w:r>
    </w:p>
    <w:p w:rsidR="006D4873" w:rsidRDefault="006D4873" w:rsidP="006D4873">
      <w:pPr>
        <w:pStyle w:val="Akapitzlist"/>
        <w:ind w:left="1080"/>
      </w:pPr>
    </w:p>
    <w:p w:rsidR="006D4873" w:rsidRDefault="006D4873" w:rsidP="006D4873">
      <w:pPr>
        <w:pStyle w:val="Akapitzlist"/>
        <w:numPr>
          <w:ilvl w:val="0"/>
          <w:numId w:val="41"/>
        </w:numPr>
        <w:spacing w:after="200" w:line="276" w:lineRule="auto"/>
      </w:pPr>
      <w:r>
        <w:t>Znaczniki odzwierciedlające zdefiniowane przez użytkownika nazwy nowych kosztów</w:t>
      </w:r>
    </w:p>
    <w:p w:rsidR="006D4873" w:rsidRDefault="006D4873" w:rsidP="006D4873">
      <w:pPr>
        <w:pStyle w:val="Akapitzlist"/>
        <w:ind w:left="1134"/>
      </w:pPr>
      <w:r>
        <w:t>[KOSZT_TYP1]</w:t>
      </w:r>
    </w:p>
    <w:p w:rsidR="006D4873" w:rsidRDefault="006D4873" w:rsidP="006D4873">
      <w:pPr>
        <w:pStyle w:val="Akapitzlist"/>
        <w:ind w:left="1134"/>
      </w:pPr>
      <w:r>
        <w:t>[KOSZT_TYP2]</w:t>
      </w:r>
    </w:p>
    <w:p w:rsidR="006D4873" w:rsidRDefault="006D4873" w:rsidP="006D4873">
      <w:pPr>
        <w:pStyle w:val="Akapitzlist"/>
        <w:ind w:left="1134"/>
      </w:pPr>
      <w:r>
        <w:t>[KOSZT_TYP3]</w:t>
      </w:r>
    </w:p>
    <w:p w:rsidR="006D4873" w:rsidRDefault="006D4873" w:rsidP="006D4873">
      <w:pPr>
        <w:pStyle w:val="Akapitzlist"/>
        <w:ind w:left="1134"/>
      </w:pPr>
      <w:r>
        <w:t>[KOSZT_TYP4]</w:t>
      </w:r>
    </w:p>
    <w:p w:rsidR="006D4873" w:rsidRDefault="006D4873" w:rsidP="006D4873">
      <w:pPr>
        <w:pStyle w:val="Akapitzlist"/>
        <w:ind w:left="1134"/>
      </w:pPr>
      <w:r>
        <w:t>[KOSZT_TYP5]</w:t>
      </w:r>
    </w:p>
    <w:p w:rsidR="006D4873" w:rsidRDefault="006D4873" w:rsidP="006D4873">
      <w:pPr>
        <w:pStyle w:val="Akapitzlist"/>
        <w:ind w:left="1134"/>
      </w:pPr>
      <w:r>
        <w:t>[KOSZT_TYP6]</w:t>
      </w:r>
    </w:p>
    <w:p w:rsidR="006D4873" w:rsidRDefault="006D4873" w:rsidP="006D4873">
      <w:pPr>
        <w:pStyle w:val="Akapitzlist"/>
        <w:ind w:left="1134"/>
      </w:pPr>
      <w:r>
        <w:t>[KOSZT_TYP7]</w:t>
      </w:r>
    </w:p>
    <w:p w:rsidR="006D4873" w:rsidRDefault="006D4873" w:rsidP="006D4873">
      <w:pPr>
        <w:pStyle w:val="Akapitzlist"/>
        <w:ind w:left="1134"/>
      </w:pPr>
      <w:r>
        <w:t>[KOSZT_TYP8]</w:t>
      </w:r>
    </w:p>
    <w:p w:rsidR="006D4873" w:rsidRDefault="006D4873" w:rsidP="006D4873">
      <w:pPr>
        <w:pStyle w:val="Akapitzlist"/>
        <w:ind w:left="1134"/>
      </w:pPr>
      <w:r>
        <w:t>[KOSZT_TYP9]</w:t>
      </w:r>
    </w:p>
    <w:p w:rsidR="006D4873" w:rsidRDefault="006D4873" w:rsidP="006D4873">
      <w:pPr>
        <w:pStyle w:val="Akapitzlist"/>
        <w:ind w:left="1134"/>
      </w:pPr>
      <w:r>
        <w:t>[KOSZT_TYP10]</w:t>
      </w:r>
    </w:p>
    <w:p w:rsidR="006D4873" w:rsidRDefault="006D4873" w:rsidP="006D4873">
      <w:pPr>
        <w:pStyle w:val="Akapitzlist"/>
        <w:ind w:left="1134"/>
      </w:pPr>
      <w:r>
        <w:t>[KOSZT_TYP11]</w:t>
      </w:r>
    </w:p>
    <w:p w:rsidR="006D4873" w:rsidRDefault="006D4873" w:rsidP="006D4873">
      <w:pPr>
        <w:pStyle w:val="Akapitzlist"/>
        <w:ind w:left="1134"/>
      </w:pPr>
      <w:r>
        <w:t>[KOSZT_TYP12]</w:t>
      </w:r>
    </w:p>
    <w:p w:rsidR="006D4873" w:rsidRDefault="006D4873" w:rsidP="006D4873">
      <w:pPr>
        <w:pStyle w:val="Akapitzlist"/>
        <w:ind w:left="1134"/>
      </w:pPr>
      <w:r>
        <w:t>[KOSZT_TYP13]</w:t>
      </w:r>
    </w:p>
    <w:p w:rsidR="006D4873" w:rsidRDefault="006D4873" w:rsidP="006D4873">
      <w:pPr>
        <w:pStyle w:val="Akapitzlist"/>
        <w:ind w:left="1134"/>
      </w:pPr>
      <w:r>
        <w:t>[KOSZT_TYP14]</w:t>
      </w:r>
    </w:p>
    <w:p w:rsidR="006D4873" w:rsidRDefault="006D4873" w:rsidP="006D4873">
      <w:pPr>
        <w:pStyle w:val="Akapitzlist"/>
        <w:ind w:left="1134"/>
      </w:pPr>
      <w:r>
        <w:t>[KOSZT_TYP15]</w:t>
      </w:r>
    </w:p>
    <w:p w:rsidR="006D4873" w:rsidRDefault="006D4873" w:rsidP="006D4873"/>
    <w:p w:rsidR="006D4873" w:rsidRDefault="006D4873" w:rsidP="006D4873"/>
    <w:p w:rsidR="006D4873" w:rsidRDefault="006D4873" w:rsidP="006D4873">
      <w:pPr>
        <w:pStyle w:val="Akapitzlist"/>
        <w:ind w:left="170"/>
      </w:pPr>
    </w:p>
    <w:p w:rsidR="006D4873" w:rsidRDefault="006D4873" w:rsidP="006D4873">
      <w:pPr>
        <w:pStyle w:val="Akapitzlist"/>
        <w:numPr>
          <w:ilvl w:val="0"/>
          <w:numId w:val="38"/>
        </w:numPr>
        <w:ind w:left="170"/>
      </w:pPr>
      <w:r>
        <w:t xml:space="preserve">W Hurtowni danych w zakładce </w:t>
      </w:r>
      <w:r w:rsidRPr="006D4873">
        <w:t>Warunki znaczniki</w:t>
      </w:r>
      <w:r>
        <w:t xml:space="preserve"> dodano alternatywne opcje analizy danych przy filtrowaniu znaczników</w:t>
      </w:r>
    </w:p>
    <w:p w:rsidR="006D4873" w:rsidRDefault="006D4873" w:rsidP="006D4873">
      <w:pPr>
        <w:pStyle w:val="Akapitzlist"/>
        <w:ind w:left="170"/>
      </w:pPr>
    </w:p>
    <w:p w:rsidR="006D4873" w:rsidRDefault="006D4873" w:rsidP="006D4873">
      <w:pPr>
        <w:ind w:left="720"/>
      </w:pPr>
      <w:r>
        <w:rPr>
          <w:noProof/>
        </w:rPr>
        <w:drawing>
          <wp:inline distT="0" distB="0" distL="0" distR="0" wp14:anchorId="625D8714" wp14:editId="3913E77A">
            <wp:extent cx="5753100" cy="2486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3" w:rsidRDefault="006D4873" w:rsidP="006D4873">
      <w:pPr>
        <w:ind w:left="720"/>
      </w:pPr>
    </w:p>
    <w:p w:rsidR="006D4873" w:rsidRDefault="006D4873" w:rsidP="006D4873">
      <w:pPr>
        <w:ind w:left="720"/>
      </w:pPr>
      <w:r>
        <w:t>Do wyboru mamy:</w:t>
      </w:r>
    </w:p>
    <w:p w:rsidR="006D4873" w:rsidRDefault="006D4873" w:rsidP="006D4873">
      <w:pPr>
        <w:pStyle w:val="Akapitzlist"/>
        <w:numPr>
          <w:ilvl w:val="0"/>
          <w:numId w:val="42"/>
        </w:numPr>
        <w:spacing w:after="200" w:line="276" w:lineRule="auto"/>
      </w:pPr>
      <w:r>
        <w:t xml:space="preserve">Lub – analiza zostanie przeprowadzona wśród umów, które posiadają jeden z zaznaczonych znaczników (ten </w:t>
      </w:r>
      <w:r w:rsidRPr="00D40B63">
        <w:rPr>
          <w:b/>
        </w:rPr>
        <w:t>lub</w:t>
      </w:r>
      <w:r>
        <w:t xml:space="preserve"> ten)</w:t>
      </w:r>
    </w:p>
    <w:p w:rsidR="006D4873" w:rsidRDefault="006D4873" w:rsidP="006D4873">
      <w:pPr>
        <w:pStyle w:val="Akapitzlist"/>
        <w:numPr>
          <w:ilvl w:val="0"/>
          <w:numId w:val="42"/>
        </w:numPr>
        <w:spacing w:after="200" w:line="276" w:lineRule="auto"/>
      </w:pPr>
      <w:r>
        <w:lastRenderedPageBreak/>
        <w:t xml:space="preserve">I – analiza umów, które mają dopisane wszystkie zaznaczone znaczniki ( </w:t>
      </w:r>
      <w:r w:rsidRPr="00D40B63">
        <w:rPr>
          <w:b/>
        </w:rPr>
        <w:t>i</w:t>
      </w:r>
      <w:r>
        <w:t xml:space="preserve"> ten </w:t>
      </w:r>
      <w:r w:rsidRPr="00D40B63">
        <w:rPr>
          <w:b/>
        </w:rPr>
        <w:t>i</w:t>
      </w:r>
      <w:r>
        <w:t xml:space="preserve"> ten…)</w:t>
      </w:r>
    </w:p>
    <w:p w:rsidR="006D4873" w:rsidRDefault="006D4873" w:rsidP="006D4873"/>
    <w:p w:rsidR="006D4873" w:rsidRDefault="006D4873" w:rsidP="006D4873">
      <w:pPr>
        <w:ind w:left="708"/>
      </w:pPr>
      <w:r>
        <w:t xml:space="preserve">Ponadto dodano przycisk </w:t>
      </w:r>
      <w:r>
        <w:rPr>
          <w:b/>
        </w:rPr>
        <w:t>Zaznacz wszystkie</w:t>
      </w:r>
      <w:r>
        <w:t xml:space="preserve"> (zaznacza wszystkie znaczniki na liście)</w:t>
      </w:r>
    </w:p>
    <w:p w:rsidR="006D4873" w:rsidRDefault="006D4873" w:rsidP="006D4873"/>
    <w:p w:rsidR="006D4873" w:rsidRPr="00E8216A" w:rsidRDefault="006D4873" w:rsidP="006D4873">
      <w:pPr>
        <w:pStyle w:val="Akapitzlist"/>
        <w:numPr>
          <w:ilvl w:val="0"/>
          <w:numId w:val="38"/>
        </w:numPr>
        <w:ind w:left="170"/>
      </w:pPr>
      <w:r>
        <w:t xml:space="preserve">Dodano dodatkową kolumnę w hurtowni danych w zakładce </w:t>
      </w:r>
      <w:r w:rsidRPr="006D4873">
        <w:t>Umowa</w:t>
      </w:r>
    </w:p>
    <w:p w:rsidR="006D4873" w:rsidRDefault="006D4873" w:rsidP="006D4873">
      <w:pPr>
        <w:pStyle w:val="Akapitzlist"/>
        <w:ind w:left="170"/>
      </w:pPr>
      <w:r>
        <w:t xml:space="preserve">W dane kolumnie zostaną wyświetlone wszystkie znaczników spośród tych </w:t>
      </w:r>
      <w:proofErr w:type="spellStart"/>
      <w:r>
        <w:t>farmingu</w:t>
      </w:r>
      <w:proofErr w:type="spellEnd"/>
      <w:r>
        <w:t xml:space="preserve"> dołączonych do danej umowy lub klienta.</w:t>
      </w:r>
    </w:p>
    <w:p w:rsidR="006D4873" w:rsidRPr="00E8216A" w:rsidRDefault="006D4873" w:rsidP="006D4873">
      <w:pPr>
        <w:pStyle w:val="Akapitzlist"/>
        <w:ind w:left="170"/>
      </w:pPr>
      <w:r>
        <w:t xml:space="preserve">Znaczniki </w:t>
      </w:r>
      <w:proofErr w:type="spellStart"/>
      <w:r>
        <w:t>farmingu</w:t>
      </w:r>
      <w:proofErr w:type="spellEnd"/>
      <w:r>
        <w:t xml:space="preserve"> zostały opisane we wcześniejszej wersji </w:t>
      </w:r>
      <w:proofErr w:type="spellStart"/>
      <w:r>
        <w:t>pbazy</w:t>
      </w:r>
      <w:proofErr w:type="spellEnd"/>
      <w:r>
        <w:t>.</w:t>
      </w:r>
    </w:p>
    <w:p w:rsidR="006D4873" w:rsidRDefault="006D4873" w:rsidP="006D4873">
      <w:r>
        <w:rPr>
          <w:noProof/>
        </w:rPr>
        <w:drawing>
          <wp:inline distT="0" distB="0" distL="0" distR="0" wp14:anchorId="7FC23BC3" wp14:editId="597BAEC9">
            <wp:extent cx="5762625" cy="3419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3" w:rsidRDefault="006D4873" w:rsidP="006D4873"/>
    <w:p w:rsidR="006D4873" w:rsidRDefault="006D4873" w:rsidP="006D4873">
      <w:pPr>
        <w:pStyle w:val="Akapitzlist"/>
        <w:numPr>
          <w:ilvl w:val="0"/>
          <w:numId w:val="38"/>
        </w:numPr>
        <w:ind w:left="170"/>
      </w:pPr>
      <w:r>
        <w:t xml:space="preserve">W rozliczeniu VAT w zakładce </w:t>
      </w:r>
      <w:r w:rsidRPr="006D4873">
        <w:t xml:space="preserve">VAT Sprzedaż </w:t>
      </w:r>
      <w:r>
        <w:t xml:space="preserve">pod prawym przyciskiem myszy dodano możliwość druku kopert dla zaznaczonych klientów. </w:t>
      </w:r>
    </w:p>
    <w:p w:rsidR="006D4873" w:rsidRPr="006D4873" w:rsidRDefault="006D4873" w:rsidP="006D4873">
      <w:pPr>
        <w:pStyle w:val="Akapitzlist"/>
        <w:ind w:left="170"/>
      </w:pPr>
      <w:proofErr w:type="gramStart"/>
      <w:r>
        <w:t xml:space="preserve">UWAGA ! </w:t>
      </w:r>
      <w:proofErr w:type="gramEnd"/>
      <w:r>
        <w:t xml:space="preserve">Druk kopert odbywa się automatycznie po zaznaczeniu klientów i wybraniu opcji </w:t>
      </w:r>
      <w:r w:rsidRPr="006D4873">
        <w:t>Dla zaznaczonych klientów</w:t>
      </w:r>
    </w:p>
    <w:p w:rsidR="006D4873" w:rsidRDefault="006D4873" w:rsidP="006D4873">
      <w:pPr>
        <w:rPr>
          <w:b/>
        </w:rPr>
      </w:pPr>
    </w:p>
    <w:p w:rsidR="006D4873" w:rsidRDefault="006D4873" w:rsidP="006D487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107E68C" wp14:editId="27243D92">
            <wp:extent cx="5752465" cy="3189605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3" w:rsidRDefault="006D4873" w:rsidP="006D4873">
      <w:pPr>
        <w:rPr>
          <w:b/>
        </w:rPr>
      </w:pPr>
    </w:p>
    <w:p w:rsidR="006D4873" w:rsidRDefault="006D4873" w:rsidP="006D4873">
      <w:pPr>
        <w:rPr>
          <w:b/>
        </w:rPr>
      </w:pPr>
    </w:p>
    <w:p w:rsidR="006D4873" w:rsidRDefault="006D4873" w:rsidP="006D4873">
      <w:pPr>
        <w:pStyle w:val="Akapitzlist"/>
        <w:numPr>
          <w:ilvl w:val="0"/>
          <w:numId w:val="38"/>
        </w:numPr>
        <w:ind w:left="170"/>
      </w:pPr>
      <w:r>
        <w:t xml:space="preserve">Dodatkowa zakładka w danych umowy </w:t>
      </w:r>
      <w:r w:rsidRPr="006D4873">
        <w:t xml:space="preserve">Windykacja </w:t>
      </w:r>
      <w:proofErr w:type="spellStart"/>
      <w:r w:rsidRPr="006D4873">
        <w:t>komor</w:t>
      </w:r>
      <w:proofErr w:type="spellEnd"/>
      <w:r w:rsidRPr="006D4873">
        <w:t>.</w:t>
      </w:r>
    </w:p>
    <w:p w:rsidR="006D4873" w:rsidRDefault="006D4873" w:rsidP="006D4873">
      <w:pPr>
        <w:pStyle w:val="Akapitzlist"/>
        <w:ind w:left="1080"/>
      </w:pPr>
    </w:p>
    <w:p w:rsidR="006D4873" w:rsidRDefault="006D4873" w:rsidP="006D4873">
      <w:r>
        <w:rPr>
          <w:noProof/>
        </w:rPr>
        <w:drawing>
          <wp:inline distT="0" distB="0" distL="0" distR="0" wp14:anchorId="32D454F9" wp14:editId="16CCAF0C">
            <wp:extent cx="5753100" cy="30099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3" w:rsidRDefault="006D4873" w:rsidP="006D4873"/>
    <w:p w:rsidR="006D4873" w:rsidRDefault="006D4873" w:rsidP="006D4873">
      <w:r>
        <w:t xml:space="preserve">Mamy tu możliwość dołączenia komornika do danej umowy, wybór windykacji standardowej lub niestandardowej. </w:t>
      </w:r>
    </w:p>
    <w:p w:rsidR="006D4873" w:rsidRDefault="006D4873" w:rsidP="006D4873">
      <w:pPr>
        <w:rPr>
          <w:b/>
        </w:rPr>
      </w:pPr>
      <w:r>
        <w:t xml:space="preserve">Możemy również wskazać Datę przedawnienia </w:t>
      </w:r>
      <w:proofErr w:type="gramStart"/>
      <w:r>
        <w:t xml:space="preserve">wierzytelności , </w:t>
      </w:r>
      <w:proofErr w:type="gramEnd"/>
      <w:r>
        <w:t>Data przedawnienia odsetek</w:t>
      </w:r>
    </w:p>
    <w:p w:rsidR="006D4873" w:rsidRPr="002A483A" w:rsidRDefault="006D4873" w:rsidP="006D4873">
      <w:pPr>
        <w:rPr>
          <w:b/>
        </w:rPr>
      </w:pPr>
    </w:p>
    <w:p w:rsidR="006D4873" w:rsidRDefault="006D4873" w:rsidP="006D4873">
      <w:pPr>
        <w:pStyle w:val="Akapitzlist"/>
        <w:numPr>
          <w:ilvl w:val="0"/>
          <w:numId w:val="38"/>
        </w:numPr>
        <w:ind w:left="170"/>
      </w:pPr>
      <w:bookmarkStart w:id="0" w:name="_GoBack"/>
      <w:r>
        <w:t>W umowach info rozbudowano filtr produktów. Pi dwukrotnym kliknięciu w pole tekstowe Produkt wyświetli się okienko z listą produktów, gdzie możemy wyszukać dany fundusz po nazwie oraz/lub posortować je alfabetycznie</w:t>
      </w:r>
    </w:p>
    <w:bookmarkEnd w:id="0"/>
    <w:p w:rsidR="006D4873" w:rsidRDefault="006D4873" w:rsidP="006D4873">
      <w:pPr>
        <w:pStyle w:val="Akapitzlist"/>
        <w:ind w:left="1080"/>
      </w:pPr>
    </w:p>
    <w:p w:rsidR="00940299" w:rsidRDefault="006D4873" w:rsidP="00022B49">
      <w:pPr>
        <w:pStyle w:val="Akapitzlist"/>
        <w:spacing w:after="200" w:line="276" w:lineRule="auto"/>
        <w:ind w:left="170"/>
      </w:pPr>
      <w:r>
        <w:rPr>
          <w:noProof/>
        </w:rPr>
        <w:lastRenderedPageBreak/>
        <w:drawing>
          <wp:inline distT="0" distB="0" distL="0" distR="0" wp14:anchorId="607FBE6D" wp14:editId="1FB94F37">
            <wp:extent cx="5753100" cy="37052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CB" w:rsidRDefault="001E62CB" w:rsidP="00022B49">
      <w:pPr>
        <w:ind w:left="170"/>
      </w:pPr>
      <w:r>
        <w:t>Instrukcja wgrania wersji</w:t>
      </w:r>
    </w:p>
    <w:p w:rsidR="001E62CB" w:rsidRDefault="001E62CB" w:rsidP="00022B49">
      <w:pPr>
        <w:numPr>
          <w:ilvl w:val="0"/>
          <w:numId w:val="2"/>
        </w:numPr>
        <w:ind w:left="170"/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022B49">
      <w:pPr>
        <w:numPr>
          <w:ilvl w:val="0"/>
          <w:numId w:val="2"/>
        </w:numPr>
        <w:ind w:left="170"/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022B49">
      <w:pPr>
        <w:numPr>
          <w:ilvl w:val="0"/>
          <w:numId w:val="2"/>
        </w:numPr>
        <w:ind w:left="170"/>
      </w:pPr>
      <w:r>
        <w:t>Wykonać instalacje bazy danych opcja Baza-&gt;Instalacja wersji</w:t>
      </w:r>
    </w:p>
    <w:p w:rsidR="007039E8" w:rsidRDefault="007039E8" w:rsidP="007039E8">
      <w:pPr>
        <w:ind w:left="170"/>
      </w:pPr>
    </w:p>
    <w:p w:rsidR="007039E8" w:rsidRPr="007039E8" w:rsidRDefault="007039E8" w:rsidP="007039E8">
      <w:pPr>
        <w:rPr>
          <w:b/>
          <w:color w:val="FF0000"/>
        </w:rPr>
      </w:pPr>
      <w:r w:rsidRPr="007039E8">
        <w:rPr>
          <w:b/>
          <w:color w:val="FF0000"/>
        </w:rPr>
        <w:t xml:space="preserve">UWAGA PO INSALACJI NALEŻY WEJŚĆ DO OPCJI </w:t>
      </w:r>
    </w:p>
    <w:p w:rsidR="007039E8" w:rsidRPr="007039E8" w:rsidRDefault="007039E8" w:rsidP="007039E8">
      <w:pPr>
        <w:rPr>
          <w:b/>
          <w:color w:val="FF0000"/>
        </w:rPr>
      </w:pPr>
      <w:r w:rsidRPr="007039E8">
        <w:rPr>
          <w:b/>
          <w:color w:val="FF0000"/>
        </w:rPr>
        <w:t>BAZA-&gt;</w:t>
      </w:r>
      <w:proofErr w:type="gramStart"/>
      <w:r w:rsidRPr="007039E8">
        <w:rPr>
          <w:b/>
          <w:color w:val="FF0000"/>
        </w:rPr>
        <w:t>KONFIGURACJI   i</w:t>
      </w:r>
      <w:proofErr w:type="gramEnd"/>
      <w:r w:rsidRPr="007039E8">
        <w:rPr>
          <w:b/>
          <w:color w:val="FF0000"/>
        </w:rPr>
        <w:t xml:space="preserve"> zdefiniować wygląd ekranu UMOWY INFO</w:t>
      </w:r>
    </w:p>
    <w:p w:rsidR="001E62CB" w:rsidRDefault="001E62CB" w:rsidP="00022B49">
      <w:pPr>
        <w:ind w:left="170"/>
      </w:pPr>
    </w:p>
    <w:p w:rsidR="001E62CB" w:rsidRDefault="001E62CB" w:rsidP="00022B49">
      <w:pPr>
        <w:ind w:left="170"/>
      </w:pPr>
    </w:p>
    <w:p w:rsidR="00316A32" w:rsidRPr="007039E8" w:rsidRDefault="007039E8" w:rsidP="008B19F4">
      <w:pPr>
        <w:tabs>
          <w:tab w:val="left" w:pos="2985"/>
        </w:tabs>
        <w:rPr>
          <w:color w:val="000000" w:themeColor="text1"/>
        </w:rPr>
      </w:pPr>
      <w:r>
        <w:rPr>
          <w:color w:val="000000" w:themeColor="text1"/>
        </w:rPr>
        <w:t>Sposób definiowania ekranu umowy info opisano w dokumencie opisu wersji 4.16U</w:t>
      </w:r>
    </w:p>
    <w:sectPr w:rsidR="00316A32" w:rsidRPr="0070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557E"/>
    <w:multiLevelType w:val="hybridMultilevel"/>
    <w:tmpl w:val="07A0DE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42A"/>
    <w:multiLevelType w:val="hybridMultilevel"/>
    <w:tmpl w:val="53AA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517161"/>
    <w:multiLevelType w:val="hybridMultilevel"/>
    <w:tmpl w:val="A7DC28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7706A"/>
    <w:multiLevelType w:val="hybridMultilevel"/>
    <w:tmpl w:val="705E56D2"/>
    <w:lvl w:ilvl="0" w:tplc="4F9A1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CE65E8"/>
    <w:multiLevelType w:val="hybridMultilevel"/>
    <w:tmpl w:val="7446FB3E"/>
    <w:lvl w:ilvl="0" w:tplc="AB72B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CF21A1"/>
    <w:multiLevelType w:val="hybridMultilevel"/>
    <w:tmpl w:val="8CA8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760A3"/>
    <w:multiLevelType w:val="hybridMultilevel"/>
    <w:tmpl w:val="33D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F53499E"/>
    <w:multiLevelType w:val="hybridMultilevel"/>
    <w:tmpl w:val="0BC6FC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B21FB"/>
    <w:multiLevelType w:val="hybridMultilevel"/>
    <w:tmpl w:val="E60C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A79F3"/>
    <w:multiLevelType w:val="hybridMultilevel"/>
    <w:tmpl w:val="4460A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5B5392"/>
    <w:multiLevelType w:val="hybridMultilevel"/>
    <w:tmpl w:val="3364F40C"/>
    <w:lvl w:ilvl="0" w:tplc="2EA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1BD5"/>
    <w:multiLevelType w:val="hybridMultilevel"/>
    <w:tmpl w:val="78222A3C"/>
    <w:lvl w:ilvl="0" w:tplc="DF88F29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2141B1"/>
    <w:multiLevelType w:val="hybridMultilevel"/>
    <w:tmpl w:val="8EDC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A58EC"/>
    <w:multiLevelType w:val="hybridMultilevel"/>
    <w:tmpl w:val="FB6E71E4"/>
    <w:lvl w:ilvl="0" w:tplc="B63C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9C0E9F"/>
    <w:multiLevelType w:val="hybridMultilevel"/>
    <w:tmpl w:val="C8CE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36D96"/>
    <w:multiLevelType w:val="hybridMultilevel"/>
    <w:tmpl w:val="BE52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8262E"/>
    <w:multiLevelType w:val="hybridMultilevel"/>
    <w:tmpl w:val="59BCD4F4"/>
    <w:lvl w:ilvl="0" w:tplc="C6FE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0C1343"/>
    <w:multiLevelType w:val="hybridMultilevel"/>
    <w:tmpl w:val="6FB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36007C"/>
    <w:multiLevelType w:val="hybridMultilevel"/>
    <w:tmpl w:val="972A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C30A49"/>
    <w:multiLevelType w:val="hybridMultilevel"/>
    <w:tmpl w:val="6B005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3E33C0"/>
    <w:multiLevelType w:val="hybridMultilevel"/>
    <w:tmpl w:val="2176F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7"/>
  </w:num>
  <w:num w:numId="6">
    <w:abstractNumId w:val="37"/>
  </w:num>
  <w:num w:numId="7">
    <w:abstractNumId w:val="26"/>
  </w:num>
  <w:num w:numId="8">
    <w:abstractNumId w:val="0"/>
  </w:num>
  <w:num w:numId="9">
    <w:abstractNumId w:val="5"/>
  </w:num>
  <w:num w:numId="10">
    <w:abstractNumId w:val="33"/>
  </w:num>
  <w:num w:numId="11">
    <w:abstractNumId w:val="19"/>
  </w:num>
  <w:num w:numId="12">
    <w:abstractNumId w:val="40"/>
  </w:num>
  <w:num w:numId="13">
    <w:abstractNumId w:val="39"/>
  </w:num>
  <w:num w:numId="14">
    <w:abstractNumId w:val="11"/>
  </w:num>
  <w:num w:numId="15">
    <w:abstractNumId w:val="3"/>
  </w:num>
  <w:num w:numId="16">
    <w:abstractNumId w:val="29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21"/>
  </w:num>
  <w:num w:numId="22">
    <w:abstractNumId w:val="12"/>
  </w:num>
  <w:num w:numId="23">
    <w:abstractNumId w:val="25"/>
  </w:num>
  <w:num w:numId="24">
    <w:abstractNumId w:val="30"/>
  </w:num>
  <w:num w:numId="25">
    <w:abstractNumId w:val="15"/>
  </w:num>
  <w:num w:numId="26">
    <w:abstractNumId w:val="38"/>
  </w:num>
  <w:num w:numId="27">
    <w:abstractNumId w:val="4"/>
  </w:num>
  <w:num w:numId="28">
    <w:abstractNumId w:val="35"/>
  </w:num>
  <w:num w:numId="29">
    <w:abstractNumId w:val="16"/>
  </w:num>
  <w:num w:numId="30">
    <w:abstractNumId w:val="14"/>
  </w:num>
  <w:num w:numId="31">
    <w:abstractNumId w:val="1"/>
  </w:num>
  <w:num w:numId="32">
    <w:abstractNumId w:val="24"/>
  </w:num>
  <w:num w:numId="33">
    <w:abstractNumId w:val="9"/>
  </w:num>
  <w:num w:numId="34">
    <w:abstractNumId w:val="31"/>
  </w:num>
  <w:num w:numId="35">
    <w:abstractNumId w:val="10"/>
  </w:num>
  <w:num w:numId="36">
    <w:abstractNumId w:val="20"/>
  </w:num>
  <w:num w:numId="37">
    <w:abstractNumId w:val="36"/>
  </w:num>
  <w:num w:numId="38">
    <w:abstractNumId w:val="6"/>
  </w:num>
  <w:num w:numId="39">
    <w:abstractNumId w:val="22"/>
  </w:num>
  <w:num w:numId="40">
    <w:abstractNumId w:val="32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22B49"/>
    <w:rsid w:val="000230D1"/>
    <w:rsid w:val="000403B7"/>
    <w:rsid w:val="000570E9"/>
    <w:rsid w:val="00077EF3"/>
    <w:rsid w:val="0009104B"/>
    <w:rsid w:val="00097BDD"/>
    <w:rsid w:val="000B62A2"/>
    <w:rsid w:val="000B6D6D"/>
    <w:rsid w:val="000D1D02"/>
    <w:rsid w:val="000F7FAF"/>
    <w:rsid w:val="001133EE"/>
    <w:rsid w:val="001501C7"/>
    <w:rsid w:val="00153B61"/>
    <w:rsid w:val="00165875"/>
    <w:rsid w:val="00172B82"/>
    <w:rsid w:val="00192B70"/>
    <w:rsid w:val="001B7D48"/>
    <w:rsid w:val="001C2EE1"/>
    <w:rsid w:val="001E62CB"/>
    <w:rsid w:val="00200CF6"/>
    <w:rsid w:val="0025124E"/>
    <w:rsid w:val="00285B68"/>
    <w:rsid w:val="002A7BAE"/>
    <w:rsid w:val="00313214"/>
    <w:rsid w:val="003163E7"/>
    <w:rsid w:val="00316A32"/>
    <w:rsid w:val="0032670A"/>
    <w:rsid w:val="00331C1D"/>
    <w:rsid w:val="00342FF8"/>
    <w:rsid w:val="003462D6"/>
    <w:rsid w:val="00382586"/>
    <w:rsid w:val="003B19A9"/>
    <w:rsid w:val="00445CC0"/>
    <w:rsid w:val="00474926"/>
    <w:rsid w:val="004762CE"/>
    <w:rsid w:val="004D1B24"/>
    <w:rsid w:val="004F2E98"/>
    <w:rsid w:val="00552634"/>
    <w:rsid w:val="0056089C"/>
    <w:rsid w:val="005A36AF"/>
    <w:rsid w:val="005B6DD6"/>
    <w:rsid w:val="005C4824"/>
    <w:rsid w:val="005E25CD"/>
    <w:rsid w:val="006061C4"/>
    <w:rsid w:val="00644036"/>
    <w:rsid w:val="00644E6F"/>
    <w:rsid w:val="006540D3"/>
    <w:rsid w:val="006D4873"/>
    <w:rsid w:val="006D6B49"/>
    <w:rsid w:val="006E1EBA"/>
    <w:rsid w:val="006F55BB"/>
    <w:rsid w:val="007039E8"/>
    <w:rsid w:val="007422F4"/>
    <w:rsid w:val="007443E4"/>
    <w:rsid w:val="00786B7A"/>
    <w:rsid w:val="007B7413"/>
    <w:rsid w:val="007E7302"/>
    <w:rsid w:val="007F335C"/>
    <w:rsid w:val="00835203"/>
    <w:rsid w:val="00851B00"/>
    <w:rsid w:val="008637FB"/>
    <w:rsid w:val="00876BC4"/>
    <w:rsid w:val="0088402F"/>
    <w:rsid w:val="008A3CD1"/>
    <w:rsid w:val="008B19F4"/>
    <w:rsid w:val="00907BA3"/>
    <w:rsid w:val="00912561"/>
    <w:rsid w:val="009156BB"/>
    <w:rsid w:val="00920215"/>
    <w:rsid w:val="00930409"/>
    <w:rsid w:val="00931EE0"/>
    <w:rsid w:val="00940299"/>
    <w:rsid w:val="0095380F"/>
    <w:rsid w:val="009A5DCF"/>
    <w:rsid w:val="009D6052"/>
    <w:rsid w:val="009D7094"/>
    <w:rsid w:val="009F2038"/>
    <w:rsid w:val="00A160DF"/>
    <w:rsid w:val="00A41036"/>
    <w:rsid w:val="00B105EC"/>
    <w:rsid w:val="00B24A3B"/>
    <w:rsid w:val="00B35464"/>
    <w:rsid w:val="00B421D5"/>
    <w:rsid w:val="00B807F5"/>
    <w:rsid w:val="00B97C77"/>
    <w:rsid w:val="00BC3445"/>
    <w:rsid w:val="00BC72FE"/>
    <w:rsid w:val="00BE1EFA"/>
    <w:rsid w:val="00C20B86"/>
    <w:rsid w:val="00C22C1E"/>
    <w:rsid w:val="00C2533B"/>
    <w:rsid w:val="00C464FB"/>
    <w:rsid w:val="00C56446"/>
    <w:rsid w:val="00C76AF5"/>
    <w:rsid w:val="00C90B56"/>
    <w:rsid w:val="00CE5531"/>
    <w:rsid w:val="00D156A2"/>
    <w:rsid w:val="00D213FB"/>
    <w:rsid w:val="00D21DA7"/>
    <w:rsid w:val="00D70D52"/>
    <w:rsid w:val="00D7398C"/>
    <w:rsid w:val="00D942EB"/>
    <w:rsid w:val="00DB1F99"/>
    <w:rsid w:val="00DB2383"/>
    <w:rsid w:val="00DC1F72"/>
    <w:rsid w:val="00DD4738"/>
    <w:rsid w:val="00E101C1"/>
    <w:rsid w:val="00E148FB"/>
    <w:rsid w:val="00E60A03"/>
    <w:rsid w:val="00E67294"/>
    <w:rsid w:val="00E707B8"/>
    <w:rsid w:val="00E71AEB"/>
    <w:rsid w:val="00E83DF8"/>
    <w:rsid w:val="00E8484D"/>
    <w:rsid w:val="00EA6EFC"/>
    <w:rsid w:val="00EB05C9"/>
    <w:rsid w:val="00EB48CA"/>
    <w:rsid w:val="00EC49E9"/>
    <w:rsid w:val="00EE6AEC"/>
    <w:rsid w:val="00EF4182"/>
    <w:rsid w:val="00F156B1"/>
    <w:rsid w:val="00F226CE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BBDA-E2D3-4806-8FAB-FC3237E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14</cp:revision>
  <dcterms:created xsi:type="dcterms:W3CDTF">2012-12-07T12:41:00Z</dcterms:created>
  <dcterms:modified xsi:type="dcterms:W3CDTF">2013-01-23T08:15:00Z</dcterms:modified>
</cp:coreProperties>
</file>